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30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</w:p>
    <w:p>
      <w:pPr>
        <w:pStyle w:val="Normal"/>
        <w:spacing w:lineRule="atLeast" w:line="300" w:before="0"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Załącznik nr 8 do Formularza ofertowego – Zadanie 1</w:t>
      </w:r>
    </w:p>
    <w:p>
      <w:pPr>
        <w:pStyle w:val="Normal"/>
        <w:spacing w:lineRule="atLeast" w:line="300" w:before="0"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tLeast" w:line="300"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  <w:highlight w:val="yellow"/>
        </w:rPr>
        <w:t>Formularz parametrów oferowanych maszyn i urządzeń</w:t>
      </w:r>
    </w:p>
    <w:p>
      <w:pPr>
        <w:pStyle w:val="Normal"/>
        <w:spacing w:lineRule="atLeast" w:line="300" w:before="0" w:after="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Unowocześnienie bazy dydaktycznej i demonstracyjnej na potrzeby edukacji w zakresie rolnictwa 4.0. dla Zespołu Szkół Centrum Kształcenia Rolniczego w Gorzowie Wielkopolskim”</w:t>
      </w:r>
    </w:p>
    <w:p>
      <w:pPr>
        <w:pStyle w:val="Normal"/>
        <w:spacing w:lineRule="atLeast" w:line="300" w:before="0" w:after="0"/>
        <w:jc w:val="center"/>
        <w:rPr>
          <w:b/>
          <w:bCs/>
          <w:color w:val="C9211E"/>
        </w:rPr>
      </w:pPr>
      <w:r>
        <w:rPr>
          <w:rFonts w:ascii="Arial" w:hAnsi="Arial"/>
          <w:b/>
          <w:bCs/>
          <w:color w:val="C9211E"/>
        </w:rPr>
        <w:t>(złożyć razem z ofertą)</w:t>
      </w:r>
    </w:p>
    <w:p>
      <w:pPr>
        <w:pStyle w:val="Normal"/>
        <w:spacing w:lineRule="atLeast" w:line="300" w:before="0" w:after="0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D4B4" w:themeFill="accent6" w:themeFillTint="66"/>
        <w:tabs>
          <w:tab w:val="clear" w:pos="708"/>
          <w:tab w:val="left" w:pos="756" w:leader="none"/>
        </w:tabs>
        <w:spacing w:lineRule="auto" w:line="288"/>
        <w:rPr/>
      </w:pPr>
      <w:bookmarkStart w:id="0" w:name="_Hlk149905622"/>
      <w:r>
        <w:rPr>
          <w:rFonts w:eastAsia="Arial" w:ascii="Arial" w:hAnsi="Arial"/>
          <w:b/>
        </w:rPr>
        <w:t xml:space="preserve">Zadanie 1 – Maszyny </w:t>
      </w:r>
      <w:bookmarkEnd w:id="0"/>
    </w:p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/>
        </w:rPr>
      </w:pPr>
      <w:r>
        <w:rPr>
          <w:rFonts w:eastAsia="Arial" w:ascii="Arial" w:hAnsi="Arial"/>
          <w:b/>
        </w:rPr>
        <w:t>1. Zakres zamówienia obejmuje zakup, dostawę, montaż i uruchomienie nowych maszyn i urządzeń wyposażonych w rozwiązania rolnictwa 4.0 służących produkcji podstawowych produktów rolnych, obejmujących: nowe maszyny i urządzenia wyposażone w rozwiązania rolnictwa.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lang w:eastAsia="pl-PL"/>
        </w:rPr>
      </w:pPr>
      <w:r>
        <w:rPr>
          <w:rFonts w:eastAsia="Arial" w:ascii="Arial" w:hAnsi="Arial"/>
          <w:b/>
          <w:bCs/>
        </w:rPr>
        <w:t xml:space="preserve">       </w:t>
      </w:r>
      <w:r>
        <w:rPr>
          <w:rFonts w:eastAsia="Arial" w:ascii="Arial" w:hAnsi="Arial"/>
          <w:b/>
          <w:bCs/>
        </w:rPr>
        <w:t xml:space="preserve">1) ciągnik rolniczy o mocy 70 – 100 KM </w:t>
      </w:r>
      <w:r>
        <w:rPr>
          <w:rFonts w:eastAsia="Arial" w:ascii="Arial" w:hAnsi="Arial"/>
        </w:rPr>
        <w:t>wraz z zestawem automatycznego prowadzenia oraz systemem</w:t>
      </w:r>
      <w:r>
        <w:rPr>
          <w:rFonts w:eastAsia="Times New Roman" w:cs="Arial" w:ascii="Arial" w:hAnsi="Arial"/>
          <w:lang w:eastAsia="pl-PL"/>
        </w:rPr>
        <w:t xml:space="preserve"> </w:t>
      </w:r>
      <w:r>
        <w:rPr>
          <w:rFonts w:eastAsia="Arial" w:ascii="Arial" w:hAnsi="Arial"/>
        </w:rPr>
        <w:t>ISOBUS,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sz w:val="16"/>
          <w:szCs w:val="16"/>
          <w:lang w:eastAsia="pl-PL"/>
        </w:rPr>
      </w:pPr>
      <w:r>
        <w:rPr>
          <w:rFonts w:eastAsia="Times New Roman" w:cs="Arial" w:ascii="Arial" w:hAnsi="Arial"/>
          <w:sz w:val="16"/>
          <w:szCs w:val="16"/>
          <w:lang w:eastAsia="pl-PL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POJEMNOŚĆ SILNIKA</w:t>
      </w:r>
      <w:r>
        <w:rPr>
          <w:rFonts w:eastAsia="Times New Roman" w:cs="Arial" w:ascii="Arial" w:hAnsi="Arial"/>
          <w:lang w:eastAsia="pl-PL"/>
        </w:rPr>
        <w:t xml:space="preserve"> . …………………………....….</w:t>
      </w:r>
      <w:r>
        <w:rPr>
          <w:rFonts w:eastAsia="Times New Roman" w:cs="Arial" w:ascii="Arial" w:hAnsi="Arial"/>
          <w:b/>
          <w:bCs/>
          <w:lang w:eastAsia="pl-PL"/>
        </w:rPr>
        <w:t>cm 3</w:t>
      </w:r>
      <w:r>
        <w:rPr>
          <w:rFonts w:eastAsia="Times New Roman" w:cs="Arial" w:ascii="Arial" w:hAnsi="Arial"/>
          <w:lang w:eastAsia="pl-PL"/>
        </w:rPr>
        <w:t xml:space="preserve">         </w:t>
      </w:r>
    </w:p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Cs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…………………………………………………………………….    </w:t>
      </w:r>
    </w:p>
    <w:tbl>
      <w:tblPr>
        <w:tblW w:w="1388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091"/>
        <w:gridCol w:w="7267"/>
        <w:gridCol w:w="2694"/>
        <w:gridCol w:w="2834"/>
      </w:tblGrid>
      <w:tr>
        <w:trPr>
          <w:trHeight w:val="528" w:hRule="atLeast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Potwierdzenie spełnienia wymagań wskazanych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6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ogólne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6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6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Ciągnik fabrycznie nowy, nieużywany, rok produkcji</w:t>
            </w:r>
            <w:r>
              <w:rPr>
                <w:rFonts w:eastAsia="Times New Roman" w:cs="Arial" w:ascii="Arial" w:hAnsi="Arial"/>
                <w:lang w:eastAsia="pl-PL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nie wcześniejszy niż 2025</w:t>
            </w:r>
            <w:r>
              <w:rPr>
                <w:rFonts w:eastAsia="Times New Roman" w:cs="Arial" w:ascii="Arial" w:hAnsi="Arial"/>
                <w:lang w:eastAsia="pl-PL"/>
              </w:rPr>
              <w:t xml:space="preserve">: </w:t>
            </w:r>
          </w:p>
          <w:p>
            <w:pPr>
              <w:pStyle w:val="ListParagraph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contextualSpacing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Wszystkie systemy cyfrowe muszą być w pełni zintegrowane i gotowe do pracy w dniu odbioru.</w:t>
            </w:r>
          </w:p>
          <w:p>
            <w:pPr>
              <w:pStyle w:val="ListParagraph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contextualSpacing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Systemy muszą umożliwiać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rozbudowę funkcjonalności</w:t>
            </w:r>
            <w:r>
              <w:rPr>
                <w:rFonts w:eastAsia="Times New Roman" w:cs="Arial" w:ascii="Arial" w:hAnsi="Arial"/>
                <w:lang w:eastAsia="pl-PL"/>
              </w:rPr>
              <w:t xml:space="preserve"> w przyszłości (skalowalność).</w:t>
            </w:r>
          </w:p>
          <w:p>
            <w:pPr>
              <w:pStyle w:val="ListParagraph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Całość rozwiązania musi spełniać wymogi </w:t>
            </w:r>
            <w:r>
              <w:rPr>
                <w:rFonts w:ascii="Arial" w:hAnsi="Arial"/>
                <w:b/>
                <w:bCs/>
              </w:rPr>
              <w:t>interoperacyjności i cyfryzacji</w:t>
            </w:r>
            <w:r>
              <w:rPr>
                <w:rFonts w:ascii="Arial" w:hAnsi="Arial"/>
              </w:rPr>
              <w:t xml:space="preserve"> właściwe dla Rolnictwa 4.0.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422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422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422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422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422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42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2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6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Minimalne wymagania techniczne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6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6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2.1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Silnik i napęd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Moc silnika: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70–100 KM</w:t>
            </w:r>
            <w:r>
              <w:rPr>
                <w:rFonts w:eastAsia="Times New Roman" w:cs="Arial" w:ascii="Arial" w:hAnsi="Arial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Silnik:</w:t>
            </w:r>
          </w:p>
          <w:p>
            <w:pPr>
              <w:pStyle w:val="Normal"/>
              <w:numPr>
                <w:ilvl w:val="0"/>
                <w:numId w:val="4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minimum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4-cylindrowy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4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pojemność min.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3,0 l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4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spełniający normę emisji spalin: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Stage V</w:t>
            </w:r>
            <w:r>
              <w:rPr>
                <w:rFonts w:eastAsia="Times New Roman" w:cs="Arial" w:ascii="Arial" w:hAnsi="Arial"/>
                <w:color w:val="FF0000"/>
                <w:lang w:eastAsia="pl-PL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Maksymalny moment obrotowy: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min. 300 Nm</w:t>
            </w:r>
            <w:r>
              <w:rPr>
                <w:rFonts w:eastAsia="Times New Roman" w:cs="Arial" w:ascii="Arial" w:hAnsi="Arial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Napęd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4WD</w:t>
            </w:r>
            <w:r>
              <w:rPr>
                <w:rFonts w:eastAsia="Times New Roman" w:cs="Arial" w:ascii="Arial" w:hAnsi="Arial"/>
                <w:lang w:eastAsia="pl-PL"/>
              </w:rPr>
              <w:t xml:space="preserve"> z możliwością automatycznego lub                               elektrohydraulicznego załączania.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Prędkość maksymalna: </w:t>
            </w:r>
            <w:r>
              <w:rPr>
                <w:rFonts w:ascii="Arial" w:hAnsi="Arial"/>
                <w:b/>
                <w:bCs/>
              </w:rPr>
              <w:t>min. 40 km/h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2.2.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Przekładnia i WOM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Skrzynia biegów:</w:t>
            </w:r>
          </w:p>
          <w:p>
            <w:pPr>
              <w:pStyle w:val="Normal"/>
              <w:numPr>
                <w:ilvl w:val="0"/>
                <w:numId w:val="4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minimum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12×12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4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rewers hydrauliczny lub elektrohydrauliczny.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Tylny WOM:</w:t>
            </w:r>
          </w:p>
          <w:p>
            <w:pPr>
              <w:pStyle w:val="Normal"/>
              <w:numPr>
                <w:ilvl w:val="0"/>
                <w:numId w:val="4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540 / 540E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4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załączanie hydrauliczne lub elektrohydrauliczne.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113" w:right="17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Układ hydrauliczny i TUZ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Wydajność pompy hydraulicznej: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min. 45 l/min</w:t>
            </w:r>
            <w:r>
              <w:rPr>
                <w:rFonts w:eastAsia="Times New Roman" w:cs="Arial" w:ascii="Arial" w:hAnsi="Arial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Minimum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3 pary wyjść hydrauliki zewnętrznej</w:t>
            </w:r>
            <w:r>
              <w:rPr>
                <w:rFonts w:eastAsia="Times New Roman" w:cs="Arial" w:ascii="Arial" w:hAnsi="Arial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Tylny TUZ :</w:t>
            </w:r>
          </w:p>
          <w:p>
            <w:pPr>
              <w:pStyle w:val="Normal"/>
              <w:numPr>
                <w:ilvl w:val="0"/>
                <w:numId w:val="4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sterowanie z kabiny,</w:t>
            </w:r>
          </w:p>
          <w:p>
            <w:pPr>
              <w:pStyle w:val="Normal"/>
              <w:numPr>
                <w:ilvl w:val="0"/>
                <w:numId w:val="4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sterowanie na błotniku,</w:t>
            </w:r>
          </w:p>
          <w:p>
            <w:pPr>
              <w:pStyle w:val="Normal"/>
              <w:numPr>
                <w:ilvl w:val="0"/>
                <w:numId w:val="41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szybkozłącza ramion,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Przygotowanie konstrukcyjne do montażu przedniego TUZ. 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7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17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17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17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17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7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4.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Kabina – środowisko pracy operatora 4.0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Kabina zamknięta, klimatyzowana.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Fotel operatora pneumatycznie amortyzowany.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Ergonomiczne rozmieszczenie elementów sterowania.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Terminal operatorski zintegrowany z systemami:</w:t>
            </w:r>
          </w:p>
          <w:p>
            <w:pPr>
              <w:pStyle w:val="Normal"/>
              <w:numPr>
                <w:ilvl w:val="0"/>
                <w:numId w:val="40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automatycznego prowadzenia,</w:t>
            </w:r>
          </w:p>
          <w:p>
            <w:pPr>
              <w:pStyle w:val="Normal"/>
              <w:numPr>
                <w:ilvl w:val="0"/>
                <w:numId w:val="40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ISOBUS,</w:t>
            </w:r>
          </w:p>
          <w:p>
            <w:pPr>
              <w:pStyle w:val="Normal"/>
              <w:numPr>
                <w:ilvl w:val="0"/>
                <w:numId w:val="40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rolnictwa precyzyjnego,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Oświetlenie robocze umożliwiające pracę w warunkach nocnych,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System automatycznego prowadzenia (autopilot)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Ciągnik musi być wyposażony w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zintegrowany system automatycznego prowadzenia</w:t>
            </w:r>
            <w:r>
              <w:rPr>
                <w:rFonts w:eastAsia="Times New Roman" w:cs="Arial" w:ascii="Arial" w:hAnsi="Arial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obejmuje:</w:t>
            </w:r>
          </w:p>
          <w:p>
            <w:pPr>
              <w:pStyle w:val="Normal"/>
              <w:numPr>
                <w:ilvl w:val="0"/>
                <w:numId w:val="38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monitor sterujący o przekątnej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min. 12 cali</w:t>
            </w:r>
            <w:r>
              <w:rPr>
                <w:rFonts w:eastAsia="Times New Roman" w:cs="Arial" w:ascii="Arial" w:hAnsi="Arial"/>
                <w:lang w:eastAsia="pl-PL"/>
              </w:rPr>
              <w:t xml:space="preserve">,                                         </w:t>
            </w:r>
          </w:p>
          <w:p>
            <w:pPr>
              <w:pStyle w:val="Normal"/>
              <w:numPr>
                <w:ilvl w:val="0"/>
                <w:numId w:val="3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elektryczną lub elektrohydrauliczną jednostkę skrętu,                                    </w:t>
            </w:r>
          </w:p>
          <w:p>
            <w:pPr>
              <w:pStyle w:val="Normal"/>
              <w:numPr>
                <w:ilvl w:val="0"/>
                <w:numId w:val="3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odbiornik GNSS z anteną.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musi:</w:t>
            </w:r>
          </w:p>
          <w:p>
            <w:pPr>
              <w:pStyle w:val="Normal"/>
              <w:numPr>
                <w:ilvl w:val="0"/>
                <w:numId w:val="3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obsługiwać sygnały korekcyjne o wysokiej dokładności (w tym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RTK</w:t>
            </w:r>
            <w:r>
              <w:rPr>
                <w:rFonts w:eastAsia="Times New Roman" w:cs="Arial" w:ascii="Arial" w:hAnsi="Arial"/>
                <w:lang w:eastAsia="pl-PL"/>
              </w:rPr>
              <w:t>),</w:t>
            </w:r>
          </w:p>
          <w:p>
            <w:pPr>
              <w:pStyle w:val="Normal"/>
              <w:numPr>
                <w:ilvl w:val="0"/>
                <w:numId w:val="3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umożliwiać dokładność prowadzenia na poziomie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≤ 2,5 cm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3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posiadać łączność bezprzewodową (GSM/LTE).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System musi umożliwiać zapisywanie i eksport danych operacyjnych.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6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ISOBUS i integracja maszyn (Rolnictwo 4.0)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Ciągnik musi być wyposażony w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system ISOBUS (ISO 11783) </w:t>
            </w:r>
            <w:r>
              <w:rPr>
                <w:rFonts w:eastAsia="Times New Roman" w:cs="Arial" w:ascii="Arial" w:hAnsi="Arial"/>
                <w:lang w:eastAsia="pl-PL"/>
              </w:rPr>
              <w:t>lub równoważny.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musi umożliwiać:</w:t>
            </w:r>
          </w:p>
          <w:p>
            <w:pPr>
              <w:pStyle w:val="Normal"/>
              <w:numPr>
                <w:ilvl w:val="0"/>
                <w:numId w:val="3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obsługę maszyn kompatybilnych z ISOBUS,</w:t>
            </w:r>
          </w:p>
          <w:p>
            <w:pPr>
              <w:pStyle w:val="Normal"/>
              <w:numPr>
                <w:ilvl w:val="0"/>
                <w:numId w:val="3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automatyczne rozpoznawanie narzędzi,</w:t>
            </w:r>
          </w:p>
          <w:p>
            <w:pPr>
              <w:pStyle w:val="Normal"/>
              <w:numPr>
                <w:ilvl w:val="0"/>
                <w:numId w:val="3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wymianę danych pomiędzy ciągnikiem a maszyną.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Wymagane funkcjonalności:</w:t>
            </w:r>
          </w:p>
          <w:p>
            <w:pPr>
              <w:pStyle w:val="Normal"/>
              <w:numPr>
                <w:ilvl w:val="0"/>
                <w:numId w:val="37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TC/SC – kontrola sekcji </w:t>
            </w:r>
            <w:r>
              <w:rPr>
                <w:rFonts w:cs="Arial" w:ascii="Arial" w:hAnsi="Arial"/>
              </w:rPr>
              <w:t>(funkcja która automatycznie włącza i wyłącza sekcje robocze opryskiwaczy, rozsiewaczy lub siewników na podstawie sygnału geolokalizacji, minimalizując nakładki i zmniejszając straty materiałów.)</w:t>
            </w:r>
          </w:p>
          <w:p>
            <w:pPr>
              <w:pStyle w:val="Normal"/>
              <w:numPr>
                <w:ilvl w:val="0"/>
                <w:numId w:val="37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VRA – zmienne dawkowanie </w:t>
            </w:r>
            <w:r>
              <w:rPr>
                <w:rFonts w:cs="Arial" w:ascii="Arial" w:hAnsi="Arial"/>
              </w:rPr>
              <w:t>(funkcja polegająca na dostosowaniu ilości aplikowanych produktów do aktualnych potrzeb konkretnych stref pola)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System musi współpracować z mapami aplikacyjnymi.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Zarządzanie danymi i cyfryzacja gospodarstwa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musi umożliwiać:</w:t>
            </w:r>
          </w:p>
          <w:p>
            <w:pPr>
              <w:pStyle w:val="Normal"/>
              <w:numPr>
                <w:ilvl w:val="0"/>
                <w:numId w:val="3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rejestrację danych operacyjnych (przejazdy, dawki, powierzchnie),</w:t>
            </w:r>
          </w:p>
          <w:p>
            <w:pPr>
              <w:pStyle w:val="Normal"/>
              <w:numPr>
                <w:ilvl w:val="0"/>
                <w:numId w:val="3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archiwizację danych w chmurze lub systemie serwerowym.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Dostęp do danych:</w:t>
            </w:r>
          </w:p>
          <w:p>
            <w:pPr>
              <w:pStyle w:val="Normal"/>
              <w:numPr>
                <w:ilvl w:val="0"/>
                <w:numId w:val="3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poprzez przeglądarkę internetową,</w:t>
            </w:r>
          </w:p>
          <w:p>
            <w:pPr>
              <w:pStyle w:val="Normal"/>
              <w:numPr>
                <w:ilvl w:val="0"/>
                <w:numId w:val="3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poprzez aplikację mobilną.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Dane muszą być możliwe do:</w:t>
            </w:r>
          </w:p>
          <w:p>
            <w:pPr>
              <w:pStyle w:val="Normal"/>
              <w:numPr>
                <w:ilvl w:val="0"/>
                <w:numId w:val="3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eksportu w popularnych formatach (np. ISOXML, SHP),</w:t>
            </w:r>
          </w:p>
          <w:p>
            <w:pPr>
              <w:pStyle w:val="Normal"/>
              <w:numPr>
                <w:ilvl w:val="0"/>
                <w:numId w:val="3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integracji z zewnętrznymi systemami zarządzania gospodarstwem.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System musi spełniać wymogi bezpieczeństwa danych (RODO).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8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Montaż, uruchomienie i szkolenie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Wykonawca zapewni:</w:t>
            </w:r>
          </w:p>
          <w:p>
            <w:pPr>
              <w:pStyle w:val="Normal"/>
              <w:numPr>
                <w:ilvl w:val="1"/>
                <w:numId w:val="8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montaż wszystkich systemów cyfrowych,</w:t>
            </w:r>
          </w:p>
          <w:p>
            <w:pPr>
              <w:pStyle w:val="Normal"/>
              <w:numPr>
                <w:ilvl w:val="1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konfigurację rolnictwa precyzyjnego,</w:t>
            </w:r>
          </w:p>
          <w:p>
            <w:pPr>
              <w:pStyle w:val="Normal"/>
              <w:numPr>
                <w:ilvl w:val="1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integrację z ISOBUS.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Szkolenie obejmie:</w:t>
            </w:r>
          </w:p>
          <w:p>
            <w:pPr>
              <w:pStyle w:val="Normal"/>
              <w:numPr>
                <w:ilvl w:val="1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obsługę ciągnika,</w:t>
            </w:r>
          </w:p>
          <w:p>
            <w:pPr>
              <w:pStyle w:val="Normal"/>
              <w:numPr>
                <w:ilvl w:val="1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autopilota,</w:t>
            </w:r>
          </w:p>
          <w:p>
            <w:pPr>
              <w:pStyle w:val="Normal"/>
              <w:numPr>
                <w:ilvl w:val="1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zarządzanie danymi i mapami aplikacyjnymi.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Szkolenie zostanie potwierdzone protokołem.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9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/>
            </w:pPr>
            <w:r>
              <w:rPr>
                <w:rFonts w:eastAsia="Times New Roman" w:cs="Arial" w:ascii="Arial" w:hAnsi="Arial"/>
                <w:lang w:eastAsia="pl-PL"/>
              </w:rPr>
              <w:t>Dokumentacja:</w:t>
            </w:r>
          </w:p>
          <w:p>
            <w:pPr>
              <w:pStyle w:val="Normal"/>
              <w:numPr>
                <w:ilvl w:val="0"/>
                <w:numId w:val="32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instrukcje obsługi w języku polskim,</w:t>
            </w:r>
          </w:p>
          <w:p>
            <w:pPr>
              <w:pStyle w:val="Normal"/>
              <w:numPr>
                <w:ilvl w:val="0"/>
                <w:numId w:val="32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dokumentacja techniczna systemów IT,                                      </w:t>
            </w:r>
          </w:p>
          <w:p>
            <w:pPr>
              <w:pStyle w:val="Normal"/>
              <w:numPr>
                <w:ilvl w:val="0"/>
                <w:numId w:val="32"/>
              </w:numPr>
              <w:suppressAutoHyphens w:val="false"/>
              <w:spacing w:lineRule="auto" w:line="360" w:before="0" w:after="0"/>
              <w:rPr/>
            </w:pPr>
            <w:r>
              <w:rPr>
                <w:rFonts w:ascii="Arial" w:hAnsi="Arial"/>
              </w:rPr>
              <w:t>karty gwarancyjne,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10</w:t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tLeast" w:line="300" w:before="0" w:after="0"/>
              <w:jc w:val="bot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Ponadto dostarczony ciągnik: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spełnia wymagania określone w Ustawie z dnia 20 czerwca 1997 r. Prawo o ruchu drogowym (tj. Dz. U. z 2024 poz. 1251 ze zm.) oraz w Rozporządzeniu Ministra Infrastruktury z dnia 31 grudnia 2002 r. w sprawie warunków technicznych pojazdów oraz zakresu ich niezbędnego wyposażenia (tj. Dz. U. z 2024 poz. 502 ze.zm.)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posiada wszystkie niezbędne homologacje i dokumenty dopuszczające pojazd do ruchu drogowego na terenie UE,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osiada dostępne w języku polskim: kartę pojazdu (jeżeli dotyczy), Instrukcję obsługi, Książkę serwisową i gwarancyjną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inne dokumenty wymagane przepisami prawa (w języku polskim) niezbędne min. do zarejestrowania pojazdu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</w:tbl>
    <w:p>
      <w:pPr>
        <w:pStyle w:val="Normal"/>
        <w:spacing w:lineRule="atLeast" w:line="30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Arial"/>
          <w:bCs/>
        </w:rPr>
      </w:pPr>
      <w:r>
        <w:rPr>
          <w:rFonts w:eastAsia="Arial" w:ascii="Arial" w:hAnsi="Arial"/>
          <w:b/>
          <w:bCs/>
        </w:rPr>
        <w:t xml:space="preserve">2) ciągnik rolniczy o mocy 40 – 70 KM </w:t>
      </w:r>
      <w:r>
        <w:rPr>
          <w:rFonts w:eastAsia="Arial" w:ascii="Arial" w:hAnsi="Arial"/>
        </w:rPr>
        <w:t>wraz z zestawem automatycznego prowadzenia oraz systemem ISOBUS</w:t>
      </w:r>
    </w:p>
    <w:p>
      <w:pPr>
        <w:pStyle w:val="Normal"/>
        <w:spacing w:lineRule="auto" w:line="360" w:before="0" w:after="0"/>
        <w:rPr>
          <w:rFonts w:ascii="Arial" w:hAnsi="Arial" w:eastAsia="Arial"/>
          <w:bCs/>
          <w:sz w:val="16"/>
          <w:szCs w:val="16"/>
        </w:rPr>
      </w:pPr>
      <w:r>
        <w:rPr>
          <w:rFonts w:eastAsia="Arial" w:ascii="Arial" w:hAnsi="Arial"/>
          <w:bCs/>
          <w:sz w:val="16"/>
          <w:szCs w:val="16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…………………………………………………………………….……………………..….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POJEMNOŚĆ SILNIKA</w:t>
      </w:r>
      <w:r>
        <w:rPr>
          <w:rFonts w:eastAsia="Times New Roman" w:cs="Arial" w:ascii="Arial" w:hAnsi="Arial"/>
          <w:lang w:eastAsia="pl-PL"/>
        </w:rPr>
        <w:t xml:space="preserve"> . …………………………....….</w:t>
      </w:r>
      <w:r>
        <w:rPr>
          <w:rFonts w:eastAsia="Times New Roman" w:cs="Arial" w:ascii="Arial" w:hAnsi="Arial"/>
          <w:b/>
          <w:bCs/>
          <w:lang w:eastAsia="pl-PL"/>
        </w:rPr>
        <w:t>cm 3</w:t>
      </w:r>
      <w:r>
        <w:rPr>
          <w:rFonts w:eastAsia="Times New Roman" w:cs="Arial" w:ascii="Arial" w:hAnsi="Arial"/>
          <w:lang w:eastAsia="pl-PL"/>
        </w:rPr>
        <w:t xml:space="preserve">         </w:t>
      </w:r>
    </w:p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Cs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……………………………………………….……………….….       </w:t>
      </w:r>
    </w:p>
    <w:tbl>
      <w:tblPr>
        <w:tblW w:w="14029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133"/>
        <w:gridCol w:w="7225"/>
        <w:gridCol w:w="2835"/>
        <w:gridCol w:w="2835"/>
      </w:tblGrid>
      <w:tr>
        <w:trPr>
          <w:trHeight w:val="528" w:hRule="atLeast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Potwierdzenie spełnienia wymagań wskazanych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  <w:bCs/>
                <w:color w:themeColor="text1" w:val="000000"/>
              </w:rPr>
              <w:t>Wymagania ogólne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  <w:color w:themeColor="text1" w:val="000000"/>
              </w:rPr>
            </w:pPr>
            <w:r>
              <w:rPr>
                <w:b/>
                <w:bCs/>
                <w:color w:themeColor="text1" w:val="000000"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b/>
                <w:bCs/>
                <w:color w:themeColor="text1" w:val="000000"/>
              </w:rPr>
            </w:pPr>
            <w:r>
              <w:rPr>
                <w:b/>
                <w:bCs/>
                <w:color w:themeColor="text1" w:val="000000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Fabrycznie nowy, nieużywany, rok produkcji nie wcześniejszy niż rok 2025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Moc silnika: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40–70 KM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Silnik wysokoprężny, minimum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3-cylindrowy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Norma emisji spalin: </w:t>
            </w:r>
            <w:r>
              <w:rPr>
                <w:rFonts w:eastAsia="Times New Roman" w:cs="Arial" w:ascii="Arial" w:hAnsi="Arial"/>
                <w:b/>
                <w:bCs/>
                <w:color w:themeColor="text1" w:val="000000"/>
                <w:lang w:eastAsia="pl-PL"/>
              </w:rPr>
              <w:t>Stage V</w:t>
            </w:r>
            <w:r>
              <w:rPr>
                <w:rFonts w:eastAsia="Times New Roman" w:cs="Arial" w:ascii="Arial" w:hAnsi="Arial"/>
                <w:b/>
                <w:bCs/>
                <w:color w:val="FF0000"/>
                <w:lang w:eastAsia="pl-PL"/>
              </w:rPr>
              <w:t xml:space="preserve"> 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Przekładnia: mechaniczna, minimum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16x16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Tylny WOM: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540 obr./min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Pojemność zbiornika paliwa: minimum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40 l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Układ hydrauliczny z zaworami sterowanymi mechanicznie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Lusterka wsteczne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Konstrukcja kompaktowa, umożliwiająca pracę na ograniczonej przestrzeni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Przystosowanie do współpracy z systemami rolnictwa precyzyjnego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2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Zestaw automatycznego prowadzenia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Ciągnik powinien być wyposażony w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kompletny zestaw automatycznego prowadzenia</w:t>
            </w:r>
            <w:r>
              <w:rPr>
                <w:rFonts w:eastAsia="Times New Roman" w:cs="Arial" w:ascii="Arial" w:hAnsi="Arial"/>
                <w:lang w:eastAsia="pl-PL"/>
              </w:rPr>
              <w:t>, obejmujący co najmniej: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Monitor/terminal operatorski o przekątnej minimum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12 cali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Elektryczny system sterowania układem kierowniczym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Odbiornik GNSS umożliwiający pracę z korekcją RTK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powinien:</w:t>
            </w:r>
          </w:p>
          <w:p>
            <w:pPr>
              <w:pStyle w:val="Normal"/>
              <w:numPr>
                <w:ilvl w:val="0"/>
                <w:numId w:val="1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umożliwiać prowadzenie równoległe z wysoką dokładnością,</w:t>
            </w:r>
          </w:p>
          <w:p>
            <w:pPr>
              <w:pStyle w:val="Normal"/>
              <w:numPr>
                <w:ilvl w:val="0"/>
                <w:numId w:val="1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być przystosowany do pracy z sygnałami korekcyjnymi (w tym RTK)</w:t>
            </w:r>
          </w:p>
          <w:p>
            <w:pPr>
              <w:pStyle w:val="Normal"/>
              <w:numPr>
                <w:ilvl w:val="0"/>
                <w:numId w:val="1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umożliwiać bezprzewodową transmisję danych (GSM/LTE),</w:t>
            </w:r>
          </w:p>
          <w:p>
            <w:pPr>
              <w:pStyle w:val="Normal"/>
              <w:numPr>
                <w:ilvl w:val="0"/>
                <w:numId w:val="1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umożliwiać integrację z platformą do zarządzania danymi gospodarstwa (portal online).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System ISOBUS i funkcje Rolnictwa 4.0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Przedmiot zamówienia obejmuje:</w:t>
            </w:r>
          </w:p>
          <w:p>
            <w:pPr>
              <w:pStyle w:val="Normal"/>
              <w:numPr>
                <w:ilvl w:val="0"/>
                <w:numId w:val="1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Instalację ISOBUS</w:t>
            </w:r>
            <w:r>
              <w:rPr>
                <w:rFonts w:eastAsia="Times New Roman" w:cs="Arial" w:ascii="Arial" w:hAnsi="Arial"/>
                <w:lang w:eastAsia="pl-PL"/>
              </w:rPr>
              <w:t xml:space="preserve"> zgodną z normą ISO 11783 lub równoważną,</w:t>
            </w:r>
          </w:p>
          <w:p>
            <w:pPr>
              <w:pStyle w:val="Normal"/>
              <w:numPr>
                <w:ilvl w:val="0"/>
                <w:numId w:val="1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Licencje i funkcjonalności umożliwiające:</w:t>
            </w:r>
          </w:p>
          <w:p>
            <w:pPr>
              <w:pStyle w:val="Normal"/>
              <w:numPr>
                <w:ilvl w:val="0"/>
                <w:numId w:val="31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kontrolę sekcji (TC-S.C. -funkcja która automatycznie włącza i wyłącza sekcje robocze opryskiwaczy, rozsiewaczy lub siewników na podstawie sygnału geolokalizacji, minimalizując nakładki i zmniejszając straty materiałów),</w:t>
            </w:r>
          </w:p>
          <w:p>
            <w:pPr>
              <w:pStyle w:val="Normal"/>
              <w:numPr>
                <w:ilvl w:val="0"/>
                <w:numId w:val="31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zmienne dawkowanie (VRA – funkcja polegająca na dostosowaniu ilości aplikowanych produktów do aktualnych potrzeb konkretnych stref pola),</w:t>
            </w:r>
          </w:p>
          <w:p>
            <w:pPr>
              <w:pStyle w:val="Normal"/>
              <w:numPr>
                <w:ilvl w:val="0"/>
                <w:numId w:val="3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współpracę z kompatybilnymi maszynami rolniczymi,</w:t>
            </w:r>
          </w:p>
          <w:p>
            <w:pPr>
              <w:pStyle w:val="Normal"/>
              <w:numPr>
                <w:ilvl w:val="0"/>
                <w:numId w:val="1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rozbudowy systemu w przyszłości o kolejne funkcje rolnictwa precyzyjnego,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Montaż, uruchomienie i szkolenie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W ramach zamówienia Wykonawca zobowiązany jest do: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montażu kompletnego systemu automatycznego prowadzenia,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konfiguracji systemu ISOBUS,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uruchomienia zestawu na ciągniku,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przeprowadzenia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szkolenia użytkowników</w:t>
            </w:r>
            <w:r>
              <w:rPr>
                <w:rFonts w:eastAsia="Times New Roman" w:cs="Arial" w:ascii="Arial" w:hAnsi="Arial"/>
                <w:lang w:eastAsia="pl-PL"/>
              </w:rPr>
              <w:t xml:space="preserve"> w zakresie obsługi ciągnika oraz systemów rolnictwa precyzyjnego.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5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Dokumentacja: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instrukcje obsługi w języku polskim,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dokumentacja techniczna systemów IT,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karty gwarancyjne.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6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tLeast" w:line="300" w:before="0" w:after="0"/>
              <w:jc w:val="bot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Ponadto dostarczony ciągnik: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</w:rPr>
              <w:t>spełnia wymagania określone w Ustawie z dnia 20 czerwca 1997 r. Prawo o ruchu drogowym (tj. Dz. U. z 2024 poz. 1251 ze zm.) oraz w Rozporządzeniu Ministra Infrastruktury z dnia 31 grudnia 2002 r. w sprawie warunków technicznych pojazdów oraz zakresu ich niezbędnego wyposażenia (tj. Dz. U. z 2024 poz. 502 ze.zm.)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posiada wszystkie niezbędne homologacje i dokumenty dopuszczające pojazd do ruchu drogowego na terenie UE,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osiada dostępne w języku polskim: kartę pojazdu (jeżeli dotyczy), Instrukcję obsługi, Książkę serwisową i gwarancyjną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>
          <w:trHeight w:val="4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47"/>
              </w:numPr>
              <w:spacing w:lineRule="atLeast" w:line="300" w:before="0" w:after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inne dokumenty wymagane przepisami prawa (w języku polskim) niezbędne min. do zarejestrowania pojazdu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TAK / 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113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</w:tbl>
    <w:p>
      <w:pPr>
        <w:pStyle w:val="Normal"/>
        <w:spacing w:lineRule="atLeast" w:line="300" w:before="0" w:after="0"/>
        <w:jc w:val="both"/>
        <w:rPr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Arial" w:ascii="Arial" w:hAnsi="Arial"/>
          <w:b/>
          <w:bCs/>
        </w:rPr>
        <w:t xml:space="preserve">3) rozsiewacz nawozu o pojemności </w:t>
      </w:r>
      <w:r>
        <w:rPr>
          <w:rFonts w:eastAsia="Arial" w:ascii="Arial" w:hAnsi="Arial"/>
        </w:rPr>
        <w:t xml:space="preserve">zbiornika od 1000 do 1300 l. z systemem ISOBUS z elektronicznym sterowaniem </w:t>
      </w:r>
      <w:r>
        <w:rPr>
          <w:rFonts w:eastAsia="Times New Roman" w:cs="Arial" w:ascii="Arial" w:hAnsi="Arial"/>
          <w:lang w:eastAsia="pl-PL"/>
        </w:rPr>
        <w:t>rozdziałem dawki oraz zintegrowany system wagowy,</w:t>
      </w:r>
      <w:r>
        <w:rPr>
          <w:rFonts w:eastAsia="Arial" w:ascii="Arial" w:hAnsi="Arial"/>
          <w:b/>
          <w:bCs/>
        </w:rPr>
        <w:t xml:space="preserve"> </w:t>
      </w:r>
      <w:r>
        <w:rPr>
          <w:rFonts w:eastAsia="Times New Roman" w:cs="Arial" w:ascii="Arial" w:hAnsi="Arial"/>
          <w:lang w:eastAsia="pl-PL"/>
        </w:rPr>
        <w:t xml:space="preserve">zawieszany lub półzawieszany, przeznaczony do pracy w technologii </w:t>
      </w:r>
      <w:r>
        <w:rPr>
          <w:rFonts w:eastAsia="Times New Roman" w:cs="Arial" w:ascii="Arial" w:hAnsi="Arial"/>
          <w:b/>
          <w:bCs/>
          <w:lang w:eastAsia="pl-PL"/>
        </w:rPr>
        <w:t xml:space="preserve">Rolnictwo 4.0 </w:t>
      </w:r>
      <w:r>
        <w:rPr>
          <w:rFonts w:eastAsia="Times New Roman" w:cs="Arial" w:ascii="Arial" w:hAnsi="Arial"/>
          <w:lang w:eastAsia="pl-PL"/>
        </w:rPr>
        <w:t>i rolnictwa precyzyjnego.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Maszyna musi być przystosowana do współpracy z ciągnikami rolniczymi wyposażonymi w terminal ISOBUS lub z niezależnym terminalem sterującym.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sz w:val="16"/>
          <w:szCs w:val="16"/>
          <w:lang w:eastAsia="pl-PL"/>
        </w:rPr>
      </w:pPr>
      <w:r>
        <w:rPr>
          <w:rFonts w:eastAsia="Times New Roman" w:cs="Arial" w:ascii="Arial" w:hAnsi="Arial"/>
          <w:sz w:val="16"/>
          <w:szCs w:val="16"/>
          <w:lang w:eastAsia="pl-PL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Cs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    </w:t>
      </w:r>
    </w:p>
    <w:tbl>
      <w:tblPr>
        <w:tblW w:w="14029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133"/>
        <w:gridCol w:w="7225"/>
        <w:gridCol w:w="2835"/>
        <w:gridCol w:w="2835"/>
      </w:tblGrid>
      <w:tr>
        <w:trPr>
          <w:trHeight w:val="528" w:hRule="atLeast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Potwierdzenie spełnienia wymagań wskazanych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techniczne minimalne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1.1.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Konstrukcja i zbiornik</w:t>
            </w:r>
          </w:p>
          <w:p>
            <w:pPr>
              <w:pStyle w:val="Normal"/>
              <w:numPr>
                <w:ilvl w:val="0"/>
                <w:numId w:val="1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Pojemność nominalna zbiornika: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1000–1300 l,</w:t>
            </w:r>
          </w:p>
          <w:p>
            <w:pPr>
              <w:pStyle w:val="Normal"/>
              <w:numPr>
                <w:ilvl w:val="0"/>
                <w:numId w:val="1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Zbiornik wykonany z materiałów odpornych na korozję (stal nierdzewna lub tworzywa wysokiej jakości),</w:t>
            </w:r>
          </w:p>
          <w:p>
            <w:pPr>
              <w:pStyle w:val="Normal"/>
              <w:numPr>
                <w:ilvl w:val="0"/>
                <w:numId w:val="1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Konstrukcja przystosowana do pracy z nawozami mineralnymi granulowanymi,</w:t>
            </w:r>
          </w:p>
          <w:p>
            <w:pPr>
              <w:pStyle w:val="Normal"/>
              <w:numPr>
                <w:ilvl w:val="0"/>
                <w:numId w:val="1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Osłony elementów roboczych zgodne z normami bezpieczeństwa UE,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1.2.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System rozsiewu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rozsiewu tarczowego (minimum dwie tarcze),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Regulowana szerokość robocza (min.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18–36 m</w:t>
            </w:r>
            <w:r>
              <w:rPr>
                <w:rFonts w:eastAsia="Times New Roman" w:cs="Arial" w:ascii="Arial" w:hAnsi="Arial"/>
                <w:lang w:eastAsia="pl-PL"/>
              </w:rPr>
              <w:t>),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Precyzyjna regulacja dawki nawozu w sposób elektroniczny,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niezależnego sterowania stroną lewą i prawą (sekcje),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1.3.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Sterowanie i automatyka</w:t>
            </w:r>
          </w:p>
          <w:p>
            <w:pPr>
              <w:pStyle w:val="Normal"/>
              <w:numPr>
                <w:ilvl w:val="0"/>
                <w:numId w:val="4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Pełna obsługa w standardzie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ISOBUS (ISO 11783) </w:t>
            </w:r>
            <w:r>
              <w:rPr>
                <w:rFonts w:eastAsia="Times New Roman" w:cs="Arial" w:ascii="Arial" w:hAnsi="Arial"/>
                <w:lang w:eastAsia="pl-PL"/>
              </w:rPr>
              <w:t>lub równoważnym,</w:t>
            </w:r>
          </w:p>
          <w:p>
            <w:pPr>
              <w:pStyle w:val="Normal"/>
              <w:numPr>
                <w:ilvl w:val="0"/>
                <w:numId w:val="4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Elektroniczne sterowanie dawką nawozu z kabiny ciągnika,</w:t>
            </w:r>
          </w:p>
          <w:p>
            <w:pPr>
              <w:pStyle w:val="Normal"/>
              <w:numPr>
                <w:ilvl w:val="0"/>
                <w:numId w:val="4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Automatyczna regulacja dawki w zależności od prędkości jazdy,</w:t>
            </w:r>
          </w:p>
          <w:p>
            <w:pPr>
              <w:pStyle w:val="Normal"/>
              <w:numPr>
                <w:ilvl w:val="0"/>
                <w:numId w:val="45"/>
              </w:numPr>
              <w:suppressAutoHyphens w:val="false"/>
              <w:spacing w:lineRule="auto" w:line="360" w:before="0" w:after="0"/>
              <w:rPr>
                <w:rFonts w:ascii="Arial" w:hAnsi="Arial"/>
                <w:shd w:fill="FFFF00" w:val="clear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Możliwość pracy z mapami aplikacyjnymi (</w:t>
            </w:r>
            <w:r>
              <w:rPr>
                <w:rFonts w:cs="Arial" w:ascii="Arial" w:hAnsi="Arial"/>
              </w:rPr>
              <w:t>VRA – zmiennego dawkowania),</w:t>
            </w:r>
          </w:p>
          <w:p>
            <w:pPr>
              <w:pStyle w:val="Normal"/>
              <w:numPr>
                <w:ilvl w:val="0"/>
                <w:numId w:val="4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Automatyczne załączanie i wyłączanie sekcji </w:t>
            </w:r>
            <w:r>
              <w:rPr>
                <w:rFonts w:cs="Arial" w:ascii="Arial" w:hAnsi="Arial"/>
              </w:rPr>
              <w:t>maszyn (opryskiwaczy, siewników, rozsiewaczy) w oparciu o nawigację,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1.4.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System wagowy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Zintegrowany system ważenia nawozu,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Automatyczna korekta dawki na podstawie aktualnej masy,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Ciągły pomiar ubytku nawozu w czasie pracy,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Dokładność ważenia umożliwiająca precyzyjne nawożenie zgodne z rolnictwem precyzyjnym,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1.5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Rolnictwo 4.0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Maszyna musi spełniać wymagania technologii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Rolnictwo 4.0</w:t>
            </w:r>
            <w:r>
              <w:rPr>
                <w:rFonts w:eastAsia="Times New Roman" w:cs="Arial" w:ascii="Arial" w:hAnsi="Arial"/>
                <w:lang w:eastAsia="pl-PL"/>
              </w:rPr>
              <w:t>, w szczególności:</w:t>
            </w:r>
          </w:p>
          <w:p>
            <w:pPr>
              <w:pStyle w:val="Normal"/>
              <w:numPr>
                <w:ilvl w:val="0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Cyfrowe sterowanie i monitorowanie procesu nawożenia,</w:t>
            </w:r>
          </w:p>
          <w:p>
            <w:pPr>
              <w:pStyle w:val="Normal"/>
              <w:numPr>
                <w:ilvl w:val="0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Integracja z systemami zarządzania gospodarstwem </w:t>
            </w:r>
          </w:p>
          <w:p>
            <w:pPr>
              <w:pStyle w:val="Normal"/>
              <w:numPr>
                <w:ilvl w:val="0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Rejestracja danych operacyjnych (ilość nawozu, powierzchnia, czas pracy),</w:t>
            </w:r>
          </w:p>
          <w:p>
            <w:pPr>
              <w:pStyle w:val="Normal"/>
              <w:numPr>
                <w:ilvl w:val="0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Możliwość eksportu danych w standardowych formatach,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Wyposażenie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Terminal ISOBUS 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Oświetlenie robocze i ostrzegawcze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Plandeka lub pokrywa zbiornika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Instrukcja obsługi w języku polskim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Deklaracja zgodności CE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244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2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jakościowe i formalne</w:t>
            </w:r>
          </w:p>
          <w:p>
            <w:pPr>
              <w:pStyle w:val="Normal"/>
              <w:numPr>
                <w:ilvl w:val="0"/>
                <w:numId w:val="1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Produkt dopuszczony do obrotu na terenie UE</w:t>
            </w:r>
          </w:p>
          <w:p>
            <w:pPr>
              <w:pStyle w:val="Normal"/>
              <w:numPr>
                <w:ilvl w:val="0"/>
                <w:numId w:val="1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Zgodność z obowiązującymi normami i przepisami bezpieczeństwa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360"/>
              <w:rPr>
                <w:rFonts w:ascii="Arial" w:hAnsi="Arial"/>
                <w:strike/>
                <w:color w:val="F10D0C"/>
                <w:shd w:fill="FFFF00" w:val="clear"/>
              </w:rPr>
            </w:pPr>
            <w:r>
              <w:rPr>
                <w:rFonts w:ascii="Arial" w:hAnsi="Arial"/>
                <w:strike/>
                <w:color w:val="F10D0C"/>
                <w:shd w:fill="FFFF00" w:val="clear"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</w:tbl>
    <w:p>
      <w:pPr>
        <w:pStyle w:val="ListParagraph"/>
        <w:suppressAutoHyphens w:val="false"/>
        <w:spacing w:lineRule="atLeast" w:line="300" w:before="0" w:after="0"/>
        <w:ind w:left="426"/>
        <w:contextualSpacing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b/>
          <w:bCs/>
          <w:lang w:eastAsia="pl-PL"/>
        </w:rPr>
      </w:pPr>
      <w:r>
        <w:rPr>
          <w:rFonts w:eastAsia="Arial" w:ascii="Arial" w:hAnsi="Arial"/>
          <w:b/>
          <w:bCs/>
        </w:rPr>
        <w:t xml:space="preserve">4) opryskiwacz polowy o pojemności zbiornika od 1800 do 2300 l. </w:t>
      </w:r>
      <w:r>
        <w:rPr>
          <w:rFonts w:eastAsia="Arial" w:ascii="Arial" w:hAnsi="Arial"/>
        </w:rPr>
        <w:t xml:space="preserve">z opcją zmiennego dawkowania i automatyczną kontroli sekcji działający w oparciu o współpracę z ciągnikiem ISOBUS,  </w:t>
      </w:r>
      <w:r>
        <w:rPr>
          <w:rFonts w:eastAsia="Times New Roman" w:cs="Arial" w:ascii="Arial" w:hAnsi="Arial"/>
          <w:lang w:eastAsia="pl-PL"/>
        </w:rPr>
        <w:t xml:space="preserve">wraz z niezbędnym wyposażeniem, przeznaczony do precyzyjnego stosowania środków ochrony roślin, spełniającego założenia </w:t>
      </w:r>
      <w:r>
        <w:rPr>
          <w:rFonts w:eastAsia="Times New Roman" w:cs="Arial" w:ascii="Arial" w:hAnsi="Arial"/>
          <w:b/>
          <w:bCs/>
          <w:lang w:eastAsia="pl-PL"/>
        </w:rPr>
        <w:t>Rolnictwa 4.0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b/>
          <w:bCs/>
          <w:sz w:val="16"/>
          <w:szCs w:val="16"/>
          <w:lang w:eastAsia="pl-PL"/>
        </w:rPr>
      </w:pPr>
      <w:r>
        <w:rPr>
          <w:rFonts w:eastAsia="Times New Roman" w:cs="Arial" w:ascii="Arial" w:hAnsi="Arial"/>
          <w:b/>
          <w:bCs/>
          <w:sz w:val="16"/>
          <w:szCs w:val="16"/>
          <w:lang w:eastAsia="pl-PL"/>
        </w:rPr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ListParagraph"/>
        <w:tabs>
          <w:tab w:val="clear" w:pos="708"/>
          <w:tab w:val="left" w:pos="284" w:leader="none"/>
        </w:tabs>
        <w:spacing w:lineRule="auto" w:line="360" w:before="0" w:after="0"/>
        <w:ind w:left="0"/>
        <w:contextualSpacing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Cs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…………………………………………………………………….       </w:t>
      </w:r>
    </w:p>
    <w:tbl>
      <w:tblPr>
        <w:tblW w:w="14029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44"/>
        <w:gridCol w:w="7514"/>
        <w:gridCol w:w="2835"/>
        <w:gridCol w:w="2835"/>
      </w:tblGrid>
      <w:tr>
        <w:trPr>
          <w:trHeight w:val="528" w:hRule="atLeast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Potwierdzenie spełnienia wymagań wskazanych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themeColor="text1"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themeColor="text1" w:val="000000"/>
                <w:lang w:eastAsia="pl-PL"/>
              </w:rPr>
              <w:t>Wymagania techniczne minimalne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themeColor="text1"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themeColor="text1" w:val="000000"/>
                <w:lang w:eastAsia="pl-PL"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themeColor="text1"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themeColor="text1" w:val="000000"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1.1.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Zbiornik i konstrukcja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Pojemność zbiornika roboczego: min.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1800 - 2300 litrów,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Zbiornik wykonany z materiału odpornego na działanie środków chemicznych i promieni UV,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Zbiornik czystej wody do płukania instalacji – wymagany,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Układ mieszania cieczy roboczej – hydrauliczny lub mechaniczny, o regulowanej intensywności,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Opryskiwacz przystosowany do współpracy z ciągnikiem rolniczym (zawieszany lub przyczepiany),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1.2.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2. Belka polowa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Belka o szerokości roboczej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min. 15 m</w:t>
            </w:r>
            <w:r>
              <w:rPr>
                <w:rFonts w:eastAsia="Times New Roman" w:cs="Arial" w:ascii="Arial" w:hAnsi="Arial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Belka składana hydraulicznie.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Stabilizacja belki (mechaniczna lub hydrauliczna).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Zabezpieczenia belki przed uszkodzeniami mechanicznymi.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Rozstaw rozpylaczy standardowy (np. 50 cm).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1.3.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Układ cieczowy i opryskowy</w:t>
            </w:r>
          </w:p>
          <w:p>
            <w:pPr>
              <w:pStyle w:val="Normal"/>
              <w:numPr>
                <w:ilvl w:val="0"/>
                <w:numId w:val="22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Pompa o wydajności dostosowanej do pojemności zbiornika i szerokości belki.</w:t>
            </w:r>
          </w:p>
          <w:p>
            <w:pPr>
              <w:pStyle w:val="Normal"/>
              <w:numPr>
                <w:ilvl w:val="0"/>
                <w:numId w:val="22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Filtr ssawny, filtr tłoczny oraz filtry sekcyjne – wymagane.</w:t>
            </w:r>
          </w:p>
          <w:p>
            <w:pPr>
              <w:pStyle w:val="Normal"/>
              <w:numPr>
                <w:ilvl w:val="0"/>
                <w:numId w:val="22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Układ umożliwiający precyzyjne dawkowanie cieczy roboczej w zależności od prędkości jazdy.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System precyzyjnego rolnictwa – Rolnictwo 4.0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2.1.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ISOBUS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Opryskiwacz wyposażony w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pełny system ISOBUS (ISO 11783) </w:t>
            </w:r>
            <w:r>
              <w:rPr>
                <w:rFonts w:eastAsia="Times New Roman" w:cs="Arial" w:ascii="Arial" w:hAnsi="Arial"/>
                <w:lang w:eastAsia="pl-PL"/>
              </w:rPr>
              <w:t>lub równoważny.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Możliwość współpracy z terminalem ISOBUS ciągnika lub niezależnym terminalem.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Komunikacja dwukierunkowa między opryskiwaczem a terminalem.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2.2.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Zmienna dawka (VRA)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System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zmiennego dawkowania cieczy roboczej </w:t>
            </w:r>
            <w:r>
              <w:rPr>
                <w:rFonts w:eastAsia="Times New Roman" w:cs="Arial" w:ascii="Arial" w:hAnsi="Arial"/>
                <w:b/>
                <w:bCs/>
                <w:strike/>
                <w:lang w:eastAsia="pl-PL"/>
              </w:rPr>
              <w:t>(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VRA)</w:t>
            </w:r>
            <w:r>
              <w:rPr>
                <w:rFonts w:eastAsia="Times New Roman" w:cs="Arial" w:ascii="Arial" w:hAnsi="Arial"/>
                <w:lang w:eastAsia="pl-PL"/>
              </w:rPr>
              <w:t xml:space="preserve"> w oparciu o:</w:t>
            </w:r>
          </w:p>
          <w:p>
            <w:pPr>
              <w:pStyle w:val="Normal"/>
              <w:numPr>
                <w:ilvl w:val="0"/>
                <w:numId w:val="46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mapy aplikacyjne,</w:t>
            </w:r>
          </w:p>
          <w:p>
            <w:pPr>
              <w:pStyle w:val="Normal"/>
              <w:numPr>
                <w:ilvl w:val="0"/>
                <w:numId w:val="46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dane GPS,</w:t>
            </w:r>
          </w:p>
          <w:p>
            <w:pPr>
              <w:pStyle w:val="Normal"/>
              <w:numPr>
                <w:ilvl w:val="0"/>
                <w:numId w:val="46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prędkość jazdy,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importu map aplikacyjnych w standardowych formatach,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Automatyczne dostosowanie dawki w czasie rzeczywistym,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2.3.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Automatyczna kontrola sekcji</w:t>
            </w:r>
          </w:p>
          <w:p>
            <w:pPr>
              <w:pStyle w:val="Normal"/>
              <w:numPr>
                <w:ilvl w:val="0"/>
                <w:numId w:val="25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Automatyczne włączanie i wyłączanie sekcji belki w oparciu o sygnał GPS,</w:t>
            </w:r>
          </w:p>
          <w:p>
            <w:pPr>
              <w:pStyle w:val="Normal"/>
              <w:numPr>
                <w:ilvl w:val="0"/>
                <w:numId w:val="25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Eliminacja nakładek i omijaków,</w:t>
            </w:r>
          </w:p>
          <w:p>
            <w:pPr>
              <w:pStyle w:val="Normal"/>
              <w:numPr>
                <w:ilvl w:val="0"/>
                <w:numId w:val="25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Możliwość regulacji liczby i szerokości sekcji,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System pozycjonowania</w:t>
            </w:r>
          </w:p>
          <w:p>
            <w:pPr>
              <w:pStyle w:val="Normal"/>
              <w:numPr>
                <w:ilvl w:val="0"/>
                <w:numId w:val="26"/>
              </w:numPr>
              <w:suppressAutoHyphens w:val="false"/>
              <w:spacing w:lineRule="auto" w:line="360" w:before="0" w:after="0"/>
              <w:rPr/>
            </w:pPr>
            <w:r>
              <w:rPr>
                <w:rFonts w:ascii="Arial" w:hAnsi="Arial"/>
                <w:color w:val="000000"/>
                <w:shd w:fill="FFFFFF" w:val="clear"/>
              </w:rPr>
              <w:t>Współpraca z systemami GNSS (GPS),</w:t>
            </w:r>
          </w:p>
          <w:p>
            <w:pPr>
              <w:pStyle w:val="Normal"/>
              <w:numPr>
                <w:ilvl w:val="0"/>
                <w:numId w:val="26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color w:val="000000"/>
                <w:shd w:fill="FFFFFF" w:val="clear"/>
                <w:lang w:eastAsia="pl-PL"/>
              </w:rPr>
              <w:t>Dokładność prowadzenia odpowiednia do precyzyjnego oprysku (zależna od sygnału).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4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Bezpieczeństwo i ergonomia</w:t>
            </w:r>
          </w:p>
          <w:p>
            <w:pPr>
              <w:pStyle w:val="Normal"/>
              <w:numPr>
                <w:ilvl w:val="0"/>
                <w:numId w:val="27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Intuicyjna obsługa z poziomu terminala.</w:t>
            </w:r>
          </w:p>
          <w:p>
            <w:pPr>
              <w:pStyle w:val="Normal"/>
              <w:numPr>
                <w:ilvl w:val="0"/>
                <w:numId w:val="27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Czytelne komunikaty alarmowe i diagnostyczne.</w:t>
            </w:r>
          </w:p>
          <w:p>
            <w:pPr>
              <w:pStyle w:val="Normal"/>
              <w:numPr>
                <w:ilvl w:val="0"/>
                <w:numId w:val="27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Oznakowanie CE i zgodność z obowiązującymi normami UE.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5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Dokumentacja </w:t>
            </w:r>
          </w:p>
          <w:p>
            <w:pPr>
              <w:pStyle w:val="Normal"/>
              <w:numPr>
                <w:ilvl w:val="0"/>
                <w:numId w:val="28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Instrukcja obsługi w języku polskim.</w:t>
            </w:r>
          </w:p>
          <w:p>
            <w:pPr>
              <w:pStyle w:val="Normal"/>
              <w:numPr>
                <w:ilvl w:val="0"/>
                <w:numId w:val="28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Dokumentacja techniczna i serwisowa.</w:t>
            </w:r>
          </w:p>
          <w:p>
            <w:pPr>
              <w:pStyle w:val="Normal"/>
              <w:suppressAutoHyphens w:val="false"/>
              <w:spacing w:lineRule="auto" w:line="360" w:before="0" w:after="0"/>
              <w:rPr>
                <w:strike/>
                <w:color w:val="F10D0C"/>
                <w:shd w:fill="FFFF00" w:val="clear"/>
              </w:rPr>
            </w:pPr>
            <w:r>
              <w:rPr>
                <w:strike/>
                <w:color w:val="F10D0C"/>
                <w:shd w:fill="FFFF00" w:val="clear"/>
              </w:rPr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</w:tbl>
    <w:p>
      <w:pPr>
        <w:pStyle w:val="Normal"/>
        <w:spacing w:lineRule="atLeast" w:line="300" w:before="0" w:after="0"/>
        <w:jc w:val="both"/>
        <w:rPr>
          <w:rFonts w:ascii="Arial" w:hAnsi="Arial" w:cs="Arial"/>
          <w:b/>
          <w:shd w:fill="FFFF00" w:val="clear"/>
        </w:rPr>
      </w:pPr>
      <w:r>
        <w:rPr>
          <w:rFonts w:cs="Arial" w:ascii="Arial" w:hAnsi="Arial"/>
          <w:b/>
          <w:shd w:fill="FFFF00" w:val="clear"/>
        </w:rPr>
      </w:r>
    </w:p>
    <w:p>
      <w:pPr>
        <w:pStyle w:val="Normal"/>
        <w:spacing w:lineRule="atLeast" w:line="300" w:before="0" w:after="0"/>
        <w:jc w:val="both"/>
        <w:rPr>
          <w:shd w:fill="FFFF00" w:val="clear"/>
        </w:rPr>
      </w:pPr>
      <w:r>
        <w:rPr>
          <w:rFonts w:cs="Arial" w:ascii="Arial" w:hAnsi="Arial"/>
          <w:b/>
          <w:shd w:fill="FFFF00" w:val="clear"/>
        </w:rPr>
        <w:t xml:space="preserve">Do oferty załączam </w:t>
      </w:r>
      <w:r>
        <w:rPr>
          <w:rFonts w:cs="Arial" w:ascii="Arial" w:hAnsi="Arial"/>
          <w:b/>
          <w:shd w:fill="FFFF00" w:val="clear"/>
          <w:lang w:bidi="pl-PL"/>
        </w:rPr>
        <w:t>specyfikację techniczną maszyn i urządzeń lub karty katalogowe potwierdzające spełnianie wszystkich wymagań opisanych w Załączniku nr 1 do SWZ:</w:t>
      </w:r>
    </w:p>
    <w:p>
      <w:pPr>
        <w:pStyle w:val="Normal"/>
        <w:spacing w:lineRule="atLeast" w:line="300" w:before="0" w:after="0"/>
        <w:jc w:val="both"/>
        <w:rPr>
          <w:rFonts w:ascii="Arial" w:hAnsi="Arial" w:cs="Arial"/>
          <w:lang w:bidi="pl-PL"/>
        </w:rPr>
      </w:pPr>
      <w:r>
        <w:rPr>
          <w:rFonts w:cs="Arial" w:ascii="Arial" w:hAnsi="Arial"/>
          <w:lang w:bidi="pl-PL"/>
        </w:rPr>
        <w:t>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tLeast" w:line="300" w:before="0" w:after="0"/>
        <w:jc w:val="both"/>
        <w:rPr>
          <w:rFonts w:ascii="Arial" w:hAnsi="Arial" w:cs="Arial"/>
          <w:lang w:bidi="pl-PL"/>
        </w:rPr>
      </w:pPr>
      <w:r>
        <w:rPr>
          <w:rFonts w:cs="Arial" w:ascii="Arial" w:hAnsi="Arial"/>
          <w:lang w:bidi="pl-PL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lang w:bidi="pl-PL"/>
        </w:rPr>
        <w:t>.</w:t>
      </w:r>
    </w:p>
    <w:p>
      <w:pPr>
        <w:pStyle w:val="Normal"/>
        <w:spacing w:lineRule="atLeast" w:line="300" w:before="0" w:after="0"/>
        <w:rPr/>
      </w:pPr>
      <w:r>
        <w:rPr/>
        <w:t xml:space="preserve">Data:………………………………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ascii="Arial" w:hAnsi="Arial"/>
          <w:color w:val="000000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cs="Arial" w:ascii="Arial" w:hAnsi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cs="Arial" w:ascii="Arial" w:hAnsi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…………………………………………………………………………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>
        <w:rPr>
          <w:rFonts w:cs="Arial" w:ascii="Arial" w:hAnsi="Arial"/>
          <w:color w:val="000000"/>
          <w:sz w:val="16"/>
          <w:szCs w:val="16"/>
        </w:rPr>
        <w:t xml:space="preserve">Wykonawca lub upełnomocniony przedstawiciel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</w:t>
      </w:r>
      <w:r>
        <w:rPr>
          <w:rFonts w:cs="Arial" w:ascii="Arial" w:hAnsi="Arial"/>
          <w:b/>
          <w:bCs/>
          <w:color w:val="000000"/>
          <w:sz w:val="16"/>
          <w:szCs w:val="16"/>
        </w:rPr>
        <w:t>Kwalifikowany podpis elektroniczny</w:t>
      </w:r>
    </w:p>
    <w:p>
      <w:pPr>
        <w:pStyle w:val="Normal"/>
        <w:tabs>
          <w:tab w:val="clear" w:pos="708"/>
          <w:tab w:val="left" w:pos="756" w:leader="none"/>
        </w:tabs>
        <w:spacing w:lineRule="auto" w:line="288" w:before="0" w:after="200"/>
        <w:jc w:val="both"/>
        <w:rPr>
          <w:rFonts w:ascii="Arial" w:hAnsi="Arial" w:eastAsia="Arial"/>
          <w:bCs/>
          <w:shd w:fill="FFFF00" w:val="clear"/>
        </w:rPr>
      </w:pPr>
      <w:r>
        <w:rPr>
          <w:rFonts w:eastAsia="Arial" w:ascii="Arial" w:hAnsi="Arial"/>
          <w:bCs/>
          <w:shd w:fill="FFFF00" w:val="clear"/>
        </w:rPr>
      </w:r>
    </w:p>
    <w:sectPr>
      <w:headerReference w:type="default" r:id="rId2"/>
      <w:type w:val="nextPage"/>
      <w:pgSz w:orient="landscape" w:w="16838" w:h="11906"/>
      <w:pgMar w:left="1417" w:right="1417" w:gutter="0" w:header="0" w:top="1276" w:footer="0" w:bottom="993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  <w:drawing>
        <wp:inline distT="0" distB="0" distL="0" distR="0">
          <wp:extent cx="5547360" cy="655320"/>
          <wp:effectExtent l="0" t="0" r="0" b="0"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736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4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5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6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7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9">
    <w:lvl w:ilvl="0">
      <w:start w:val="1"/>
      <w:numFmt w:val="decimal"/>
      <w:lvlText w:val="%1)"/>
      <w:lvlJc w:val="left"/>
      <w:pPr>
        <w:tabs>
          <w:tab w:val="num" w:pos="782"/>
        </w:tabs>
        <w:ind w:left="782" w:hanging="360"/>
      </w:pPr>
      <w:rPr/>
    </w:lvl>
    <w:lvl w:ilvl="1">
      <w:start w:val="1"/>
      <w:numFmt w:val="decimal"/>
      <w:lvlText w:val="%2."/>
      <w:lvlJc w:val="left"/>
      <w:pPr>
        <w:tabs>
          <w:tab w:val="num" w:pos="1142"/>
        </w:tabs>
        <w:ind w:left="1142" w:hanging="360"/>
      </w:pPr>
      <w:rPr/>
    </w:lvl>
    <w:lvl w:ilvl="2">
      <w:start w:val="1"/>
      <w:numFmt w:val="decimal"/>
      <w:lvlText w:val="%3."/>
      <w:lvlJc w:val="left"/>
      <w:pPr>
        <w:tabs>
          <w:tab w:val="num" w:pos="1502"/>
        </w:tabs>
        <w:ind w:left="1502" w:hanging="360"/>
      </w:pPr>
      <w:rPr/>
    </w:lvl>
    <w:lvl w:ilvl="3">
      <w:start w:val="1"/>
      <w:numFmt w:val="decimal"/>
      <w:lvlText w:val="%4."/>
      <w:lvlJc w:val="left"/>
      <w:pPr>
        <w:tabs>
          <w:tab w:val="num" w:pos="1862"/>
        </w:tabs>
        <w:ind w:left="1862" w:hanging="360"/>
      </w:pPr>
      <w:rPr/>
    </w:lvl>
    <w:lvl w:ilvl="4">
      <w:start w:val="1"/>
      <w:numFmt w:val="decimal"/>
      <w:lvlText w:val="%5."/>
      <w:lvlJc w:val="left"/>
      <w:pPr>
        <w:tabs>
          <w:tab w:val="num" w:pos="2222"/>
        </w:tabs>
        <w:ind w:left="2222" w:hanging="360"/>
      </w:pPr>
      <w:rPr/>
    </w:lvl>
    <w:lvl w:ilvl="5">
      <w:start w:val="1"/>
      <w:numFmt w:val="decimal"/>
      <w:lvlText w:val="%6."/>
      <w:lvlJc w:val="left"/>
      <w:pPr>
        <w:tabs>
          <w:tab w:val="num" w:pos="2582"/>
        </w:tabs>
        <w:ind w:left="2582" w:hanging="360"/>
      </w:pPr>
      <w:rPr/>
    </w:lvl>
    <w:lvl w:ilvl="6">
      <w:start w:val="1"/>
      <w:numFmt w:val="decimal"/>
      <w:lvlText w:val="%7."/>
      <w:lvlJc w:val="left"/>
      <w:pPr>
        <w:tabs>
          <w:tab w:val="num" w:pos="2942"/>
        </w:tabs>
        <w:ind w:left="2942" w:hanging="360"/>
      </w:pPr>
      <w:rPr/>
    </w:lvl>
    <w:lvl w:ilvl="7">
      <w:start w:val="1"/>
      <w:numFmt w:val="decimal"/>
      <w:lvlText w:val="%8."/>
      <w:lvlJc w:val="left"/>
      <w:pPr>
        <w:tabs>
          <w:tab w:val="num" w:pos="3302"/>
        </w:tabs>
        <w:ind w:left="3302" w:hanging="360"/>
      </w:pPr>
      <w:rPr/>
    </w:lvl>
    <w:lvl w:ilvl="8">
      <w:start w:val="1"/>
      <w:numFmt w:val="decimal"/>
      <w:lvlText w:val="%9."/>
      <w:lvlJc w:val="left"/>
      <w:pPr>
        <w:tabs>
          <w:tab w:val="num" w:pos="3662"/>
        </w:tabs>
        <w:ind w:left="3662" w:hanging="360"/>
      </w:pPr>
      <w:rPr/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5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7"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4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04592"/>
    <w:rPr>
      <w:rFonts w:ascii="Tahoma" w:hAnsi="Tahoma" w:cs="Tahoma"/>
      <w:sz w:val="16"/>
      <w:szCs w:val="16"/>
    </w:rPr>
  </w:style>
  <w:style w:type="character" w:styleId="Annotationreference">
    <w:name w:val="annotation reference"/>
    <w:semiHidden/>
    <w:qFormat/>
    <w:rsid w:val="00d555b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d555b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591ad2"/>
    <w:rPr/>
  </w:style>
  <w:style w:type="character" w:styleId="StopkaZnak" w:customStyle="1">
    <w:name w:val="Stopka Znak"/>
    <w:basedOn w:val="DefaultParagraphFont"/>
    <w:uiPriority w:val="99"/>
    <w:qFormat/>
    <w:rsid w:val="00591ad2"/>
    <w:rPr/>
  </w:style>
  <w:style w:type="character" w:styleId="AkapitzlistZnak" w:customStyle="1">
    <w:name w:val="Akapit z listą Znak"/>
    <w:link w:val="ListParagraph"/>
    <w:uiPriority w:val="34"/>
    <w:qFormat/>
    <w:rsid w:val="0064564f"/>
    <w:rPr/>
  </w:style>
  <w:style w:type="character" w:styleId="Vkekvd" w:customStyle="1">
    <w:name w:val="vkekvd"/>
    <w:basedOn w:val="DefaultParagraphFont"/>
    <w:qFormat/>
    <w:rsid w:val="001619d5"/>
    <w:rPr/>
  </w:style>
  <w:style w:type="character" w:styleId="Strong">
    <w:name w:val="Strong"/>
    <w:basedOn w:val="DefaultParagraphFont"/>
    <w:uiPriority w:val="22"/>
    <w:qFormat/>
    <w:rsid w:val="00d1338a"/>
    <w:rPr>
      <w:b/>
      <w:b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591ad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045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AkapitzlistZnak"/>
    <w:uiPriority w:val="34"/>
    <w:qFormat/>
    <w:rsid w:val="00c06dd6"/>
    <w:pPr>
      <w:spacing w:before="0" w:after="200"/>
      <w:ind w:left="720"/>
      <w:contextualSpacing/>
    </w:pPr>
    <w:rPr/>
  </w:style>
  <w:style w:type="paragraph" w:styleId="Annotationtext">
    <w:name w:val="annotation text"/>
    <w:basedOn w:val="Normal"/>
    <w:link w:val="TekstkomentarzaZnak"/>
    <w:semiHidden/>
    <w:qFormat/>
    <w:rsid w:val="00d555b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591ad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Punktor">
    <w:name w:val="Punktor •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673d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13515-038B-40DE-A98C-2352FBA8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LibreOffice/7.6.4.1$Windows_X86_64 LibreOffice_project/e19e193f88cd6c0525a17fb7a176ed8e6a3e2aa1</Application>
  <AppVersion>15.0000</AppVersion>
  <Pages>16</Pages>
  <Words>2051</Words>
  <Characters>13609</Characters>
  <CharactersWithSpaces>16259</CharactersWithSpaces>
  <Paragraphs>355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2026-02-06T12:59:00Z</dcterms:created>
  <dc:creator>Elżbieta Kościelska</dc:creator>
  <dc:description/>
  <dc:language>pl-PL</dc:language>
  <cp:lastModifiedBy/>
  <cp:lastPrinted>2026-02-06T12:58:00Z</cp:lastPrinted>
  <dcterms:modified xsi:type="dcterms:W3CDTF">2026-02-08T13:51:34Z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